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6" w:rsidRPr="001A6F66" w:rsidRDefault="001A6F66" w:rsidP="001A6F66">
      <w:pPr>
        <w:spacing w:before="165" w:after="90"/>
        <w:jc w:val="left"/>
        <w:outlineLvl w:val="1"/>
        <w:rPr>
          <w:rFonts w:ascii="Times New Roman" w:eastAsia="Times New Roman" w:hAnsi="Times New Roman" w:cs="Times New Roman"/>
          <w:b/>
          <w:bCs/>
          <w:color w:val="0055DD"/>
          <w:kern w:val="36"/>
          <w:sz w:val="27"/>
          <w:szCs w:val="27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55DD"/>
          <w:kern w:val="36"/>
          <w:sz w:val="27"/>
          <w:szCs w:val="27"/>
          <w:lang w:eastAsia="ru-RU"/>
        </w:rPr>
        <w:t>КОНВЕНЦИЯ МОТ 100. Конвенция о равном вознаграждении мужчин и женщин за труд равной ценности</w:t>
      </w:r>
    </w:p>
    <w:p w:rsidR="001A6F66" w:rsidRPr="001A6F66" w:rsidRDefault="001A6F66" w:rsidP="001A6F66">
      <w:pPr>
        <w:spacing w:before="105" w:after="100" w:afterAutospacing="1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вступления в силу: 23 мая 1953 года.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6 июня 1951 года на свою тридцать четвертую сессию, постановив принять ряд предложений о принципе равного вознаграждения мужчин и женщин за труд равной ценности, что является седьмым пунктом повестки дня сессии, решив придать этим предложениям форму международной конвенции, принимает сего двадцать девятого дня июня месяца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тысяча девятьсот пятьдесят первого года нижеследующую Конвенцию, которая может именоваться Конвенцией 1951 года о равном вознаграждении: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настоящей Конвенции: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термин "вознаграждение" включает в себя обычную, основную или минимальную заработную плату или обычное, основное или минимальное жалованье и всякое другое вознаграждение, предоставляемое прямо или косвенно, в деньгах или в натуре работодателем работнику в силу выполнения последним какой-либо работы;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термин "равное вознаграждение мужчин и женщин за труд равной ценности" относится к ставкам вознаграждения, определяемым без дискриминации по признакам пола.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Член Организации при помощи средств, соответствующих действующим методам установления ставок вознаграждения, поощряет и, в той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это совместимо с указанными методами, обеспечивает применение в отношении всех работников принципа равного вознаграждения мужчин и женщин за труд равной ценности.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Этот принцип может применяться путем: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национального законодательства;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системы определения вознаграждения, установленной или признанной законодательством;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коллективных договоров между работодателями и работниками;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сочетания этих различных способов.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тех случаях, когда такие действия будут способствовать применению положений настоящей Конвенции, будут предприняты меры к объективной оценке различных должностных обязанностей на основе выполняемой работы.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Методы такой оценки могут явиться объектом решений либо властей, компетентных в области определения ставок вознаграждения, либо сторон, участвующих в коллективных договорах, если ставки вознаграждения определяются такими договорами.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Разница в ставках вознаграждения, которая соответствует независимо от пола, разнице, вытекающей из такой объективной оценки исполняемой работы, не рассматривается как противоречащая принципу равного вознаграждения мужчин и женщин за труд равной ценности.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Организации сотрудничает надлежащим образом с соответствующими организациями работодателей и работников с целью проведения в жизнь положений настоящей Конвенции.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Впоследствии настоящая Конвенция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силу в отношении каждого Члена Организации через двенадцать месяцев после даты регистрации его документа о ратификации.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Заявления, направляемые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указания относительно: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территорий, в отношении которых заинтересованный Член Организации обязуется применять положения настоящей Конвенции без изменений;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территорий, в отношении которых он обязуется применять положения настоящей Конвенции с изменениями, и деталей этих изменений;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территорий, к которым Конвенция не будет применяться, и в таком случае – причин, по которым она не будет применяться;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территорий, в отношении которых он резервирует свое решение впредь до дальнейшего рассмотрения положения.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Обязательства, упомянутые в подпунктах а и b пункта 1 настоящей статьи, считаются неотъемлемой частью документа о ратификации и влекут за собой одинаковые с ним последствия.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Любой Член Организации может посредством нового заявления отказаться от всех или от части оговорок, содержащихся в его предыдущем заявлении, в силу подпунктов b, с и d пункта 1 настоящей статьи.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Любой Член Организации может в периоды, в течение которых настоящая Конвенция может быть денонсирована в соответствии с положениями статьи 9,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заявлениях, направляемых Генеральному Директору Международного Бюро Труда в соответствии с положениями пунктов 4 и 5 статьи 35 Устава Международной Организации Труда, указывается, будут ли положения настоящей Конвенции применяться к данной территории с изменениями или без изменений; если в заявлении указывается, что положения Конвенции будут применяться с изменениями, в нем уточняется, в чем именно состоят эти изменения.</w:t>
      </w:r>
      <w:proofErr w:type="gramEnd"/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Заинтересованные Член или Члены Организации или международная власть могут в любое время посредством нового заявления отказаться полностью или частично от права использовать изменения, оговоренные в каком-либо предыдущем заявлении.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Заинтересованные Член или Члены Организации или международная власть могут в периоды, когда Конвенция может быть денонсирована в соответствии с положениями статьи 9, направить Генеральному Директору новое заявление, изменяющее в любом другом отношении условия любого предыдущего заявления и сообщающее о положении в отношении применения этой Конвенции.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для регистрации. Денонсация вступает в силу через год после регистрации акта о денонсации.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  <w:proofErr w:type="gramEnd"/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соответствии с положениями предыдущих статей.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ратификация каким-либо Членом Организации новой, пересматривающей конвенции влечет за собой автоматически, независимо от положений статьи 9, немедленную денонсацию настоящей Конвенции, при условии что новая, пересматривающая конвенция вступила в силу;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начиная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новой, пересматривающей конвенции настоящая Конвенция закрыта для ратификации ее Членами Организации.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Настоящая Конвенция </w:t>
      </w:r>
      <w:proofErr w:type="gramStart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</w:p>
    <w:p w:rsidR="001A6F66" w:rsidRPr="001A6F66" w:rsidRDefault="001A6F66" w:rsidP="001A6F66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и французский тексты настоящей Конвенции имеют одинаковую силу.</w:t>
      </w:r>
    </w:p>
    <w:p w:rsidR="00A21099" w:rsidRDefault="00A21099">
      <w:bookmarkStart w:id="0" w:name="_GoBack"/>
      <w:bookmarkEnd w:id="0"/>
    </w:p>
    <w:sectPr w:rsidR="00A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6"/>
    <w:rsid w:val="001A6F66"/>
    <w:rsid w:val="007446B4"/>
    <w:rsid w:val="00A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3487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319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2012-07-04T00:33:00Z</dcterms:created>
  <dcterms:modified xsi:type="dcterms:W3CDTF">2012-07-04T00:34:00Z</dcterms:modified>
</cp:coreProperties>
</file>