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6" w:rsidRPr="00E80206" w:rsidRDefault="00E80206" w:rsidP="00E80206">
      <w:pPr>
        <w:pBdr>
          <w:bottom w:val="single" w:sz="18" w:space="10" w:color="B54415"/>
        </w:pBdr>
        <w:spacing w:after="150" w:line="390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-30"/>
          <w:sz w:val="39"/>
          <w:szCs w:val="39"/>
          <w:lang w:eastAsia="ru-RU"/>
        </w:rPr>
      </w:pPr>
      <w:r w:rsidRPr="00E80206">
        <w:rPr>
          <w:rFonts w:ascii="Arial" w:eastAsia="Times New Roman" w:hAnsi="Arial" w:cs="Arial"/>
          <w:caps/>
          <w:color w:val="000000"/>
          <w:spacing w:val="-30"/>
          <w:sz w:val="39"/>
          <w:szCs w:val="39"/>
          <w:lang w:eastAsia="ru-RU"/>
        </w:rPr>
        <w:t>Конвенция МОТ №182</w:t>
      </w:r>
    </w:p>
    <w:p w:rsidR="00E80206" w:rsidRPr="00E80206" w:rsidRDefault="00E80206" w:rsidP="00E80206">
      <w:pPr>
        <w:spacing w:before="240" w:after="240" w:line="300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Конвенция о запрещении и немедленных мерах по искоренению наихудших форм детского труда</w:t>
      </w:r>
    </w:p>
    <w:bookmarkEnd w:id="0"/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на свою 87-ю сессию 1 июня 1999 года,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считая необходимым принять новые акты для запрещения и искоренения наихудших форм детского труда в качестве главного приоритета для национальных и международных действий, включая международное сотрудничество и международную помощь, которые дополняли бы Конвенцию и Рекомендацию 1973 года о минимальном возрасте, остающиеся основополагающими актами по детскому труду,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считая, что эффективное искоренение наихудших форм детского труда требует немедленных и всесторонних действий, при которых принимаются во внимание большое значение бесплатного базового образования и необходимость освобождения детей от любой работы такого рода, а также их реабилитации и социальной интеграции, учитывая при этом нужды их семей,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напоминая о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Резолюции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упразднении детского труда, принятой 83-й сессией Международной конференции труда в 1996 году,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признавая, что детский труд в большой степени является следствием бедности и что долгосрочное решение этого вопроса лежит в устойчивом экономическом росте, ведущем к социальному прогрессу, в частности к искоренению бедности и всеобщему образованию,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напоминая о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Конвенции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правах ребенка, принятой Генеральной Ассамблеей Организации Объединенных Наций 20 ноября 1989 года,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напоминая о Декларации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основополагающих принципах и правах в сфере труда и механизме ее реализации, принятой 86-й сессией Международной конференции труда в 1998 году,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напоминая о том, что некоторые наихудшие формы детского труда охватываются другими международными актами, в частности Конвенцией 1930 года о принудительном труде и Дополнительной конвенцией Организации Объединенных Наций 1956 года об упразднении рабства, работорговли и институтов и обычаев, сходных с рабством,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постановив принять ряд предложений о детском труде, что является четвертым пунктом повестки дня сессии,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решив придать этим предложениям форму международной конвенции,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принимает сего семнадцатого дня июня месяца одна тысяча девятьсот девяносто девятого года следующую конвенцию, которая может именоваться Конвенцией 1999 года о наихудших формах детского труда.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lastRenderedPageBreak/>
        <w:br/>
        <w:t>Статья 1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Каждое государство-член, ратифицирующее настоящую Конвенцию, немедленно принимает эффективные меры, обеспечивающие в срочном порядке запрещение и искоренение наихудших форм детского труда.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2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настоящей Конвенции термин «ребенок» применяется ко всем лицам в возрасте до 18 лет.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3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настоящей Конвенции термин «наихудшие формы детского труда» включает: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 все формы рабства или практику, сходную с рабством, как, например, продажа детей и торговля ими, долговая кабала и крепостная зависимость, а также принудительный или обязательный труд, в том числе принудительную или обязательную вербовку детей для использования их в вооруженных конфликтах;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  использование, вербовку или предложение ребенка для занятия проституцией, для производства порнографической продукции или для порнографических представлений;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  использование, вербовку или предложение ребенка для занятия противоправной деятельностью, в частности для производства и продажи наркотиков, как они определены в соответствующих международных договорах;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d)  работу, которая 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4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Национальное законодательство или компетентный орган определяют после консультаций с заинтересованными организациями работодателей и трудящихся виды работ, указанные в пункте d) статьи 3, принимая во внимание соответствующие международные нормы, в частности положения пунктов 3 и 4 Рекомендации 1999 года о наихудших формах детского труда.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Компетентный орган после консультаций с заинтересованными организациями работодателей и трудящихся выявляет места осуществления определенных таким образом видов работ.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Перечень определенных согласно пункту 1 настоящей статьи видов работ периодически анализируется и, по мере необходимости, пересматривается после консультаций с заинтересованными организациями работодателей и трудящихся.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lastRenderedPageBreak/>
        <w:br/>
        <w:t>Статья 5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Каждое государство-член после консультаций с организациями работодателей и трудящихся создает или указывает соответствующие механизмы для осуществления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применением положений, проводящих в жизнь настоящую Конвенцию.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6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Каждое государство-член разрабатывает и осуществляет программы действий по искоренению в приоритетном порядке наихудших форм детского труда.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Такие программы действий разрабатываются и осуществляются после консультаций с соответствующими правительственными ведомствами и организациями работодателей и трудящихся, принимая во внимание, в случае необходимости, мнения других заинтересованных групп.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7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Каждое государство-член принимает все меры, необходимые для обеспечения эффективного применения и соблюдения положений, проводящих в жизнь настоящую Конвенцию, в том числе посредством введения и применения уголовных или, в зависимости от обстоятельств, других санкций.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 Каждое государство-член, принимая во внимание важность образования в деле искоренения детского труда, принимает в установленные сроки эффективные меры, направленные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 недопущение вовлечения детей в наихудшие формы детского труда;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  оказание необходимого и должного прямого содействия для прекращения занятия детей наихудшими формами детского труда, а также их реабилитации и социальной интеграции;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  предоставление всем детям, освобожденным от наихудших форм детского труда, доступа к бесплатному базовому образованию, а также, по мере возможности и необходимости, к профессионально-технической подготовке;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d)  выявление и охват детей, находящихся в особо уязвимом положении; и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e)  учет особенностей положения девочек.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Каждое государство-член назначает компетентный орган, ответственный за применение положений, проводящих в жизнь настоящую Конвенцию.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8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Государства-члены принимают необходимые меры с целью оказания друг другу помощи в проведении в жизнь положений настоящей Конвенции, используя для этого более широкое международное сотрудничество и/или помощь, включая поддержку социально-экономического развития, программ по борьбе с бедностью и всеобщего образования.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9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10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 Международного бюро труда.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Она вступит в силу через 12 месяцев после даты регистрации Генеральным директором ратификационных грамот двух членов Организации.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11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для регистрации. Денонсация вступит в силу через год после даты ее регистрации.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  <w:proofErr w:type="gramEnd"/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12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lastRenderedPageBreak/>
        <w:br/>
        <w:t>Статья 13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ратификационных грамотах и заявлениях о денонсации, зарегистрированных им в соответствии с положениями предыдущих статей.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14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 ее</w:t>
      </w:r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полном или частичном пересмотре.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15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  ратификация каким-либо членом Организации новой пересматривающей </w:t>
      </w:r>
      <w:proofErr w:type="gram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Кон-</w:t>
      </w:r>
      <w:proofErr w:type="spellStart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венции</w:t>
      </w:r>
      <w:proofErr w:type="spellEnd"/>
      <w:proofErr w:type="gramEnd"/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влечет за собой автоматически, независимо от положений статьи 11, незамедлительную денонсацию настоящей Конвенции при условии, что новая пересматривающая конвенция вступила в силу;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  со дня вступления в силу новой пересматривающей конвенции настоящая Конвенция закрыта для ратификации членами Организации.</w:t>
      </w:r>
    </w:p>
    <w:p w:rsidR="00E80206" w:rsidRPr="00E80206" w:rsidRDefault="00E80206" w:rsidP="00E80206">
      <w:pPr>
        <w:spacing w:before="210" w:after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:rsidR="00E80206" w:rsidRPr="00E80206" w:rsidRDefault="00E80206" w:rsidP="00E80206">
      <w:pPr>
        <w:spacing w:before="240" w:after="240" w:line="300" w:lineRule="atLeast"/>
        <w:jc w:val="left"/>
        <w:outlineLvl w:val="4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8020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Статья 16</w:t>
      </w:r>
    </w:p>
    <w:p w:rsidR="00E80206" w:rsidRPr="00E80206" w:rsidRDefault="00E80206" w:rsidP="00E80206">
      <w:pPr>
        <w:spacing w:before="210" w:line="336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2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Английский и французский тексты настоящей Конвенции имеют одинаковую силу.</w:t>
      </w:r>
    </w:p>
    <w:p w:rsidR="00A21099" w:rsidRDefault="00A21099"/>
    <w:sectPr w:rsidR="00A2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6"/>
    <w:rsid w:val="007446B4"/>
    <w:rsid w:val="00A21099"/>
    <w:rsid w:val="00E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9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2012-07-04T01:15:00Z</dcterms:created>
  <dcterms:modified xsi:type="dcterms:W3CDTF">2012-07-04T01:16:00Z</dcterms:modified>
</cp:coreProperties>
</file>